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19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附件3</w:t>
      </w:r>
    </w:p>
    <w:p w14:paraId="199609F8">
      <w:pPr>
        <w:spacing w:line="530" w:lineRule="exact"/>
        <w:ind w:right="210"/>
        <w:jc w:val="left"/>
        <w:rPr>
          <w:rFonts w:hint="default" w:ascii="Times New Roman" w:hAnsi="Times New Roman" w:cs="Times New Roman"/>
          <w:szCs w:val="32"/>
        </w:rPr>
      </w:pPr>
    </w:p>
    <w:p w14:paraId="071C0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课程教学赛道方案</w:t>
      </w:r>
    </w:p>
    <w:p w14:paraId="3D947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1F25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一、比赛内容</w:t>
      </w:r>
    </w:p>
    <w:p w14:paraId="413879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围绕落实立德树人根本任务、促进高质量充分就业，考察高校面向国家社会发展需要和学生全面发展需求，开设的大学生职业发展与就业指导课程建设情况、改革创新和实施效果，以及授课教师教学水平。</w:t>
      </w:r>
    </w:p>
    <w:p w14:paraId="7901F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二、参赛组别和对象</w:t>
      </w:r>
    </w:p>
    <w:p w14:paraId="59B41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（一）参赛组别：设高教组和职教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组，高教组面向普通本科院校，职教组面向高职（专科）院校。</w:t>
      </w:r>
    </w:p>
    <w:p w14:paraId="7072B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（二）参赛对象：普通高等学校开设的大学生职业发展与就业指导类课程（不含创新创业类课程和相关专业类课程），每校限1门，学校确定1名课程主讲教师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（须是学校在编或正式聘用人员）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作为选手参加现场比赛。比赛主要面向必修课程，有特色的选修课程也可参赛，课程近3年开设至少2轮。</w:t>
      </w:r>
    </w:p>
    <w:p w14:paraId="6D7E0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三、赛程安排</w:t>
      </w:r>
    </w:p>
    <w:p w14:paraId="030DC8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（一）省赛选拔（2025年1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月—1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2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月）</w:t>
      </w:r>
    </w:p>
    <w:p w14:paraId="6678F7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各高校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11月20日前报送参赛选手材料至zyfd@nwpu.edu.cn，每校限报1人（逾期不再接受材料）。大赛组委会组织专家开展网络评审，确定入围省赛决赛人选。2025年12月上旬，举办省赛决赛，具体安排另行通知。省教育厅根据省赛决赛结果，按照全国大赛组委会分配我省课程教学赛道参赛名额于12月10日前完成全国总决赛参赛选手推荐工作。</w:t>
      </w:r>
    </w:p>
    <w:p w14:paraId="2D3F4F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b/>
          <w:bCs/>
          <w:sz w:val="32"/>
          <w:szCs w:val="32"/>
          <w:lang w:eastAsia="zh-CN"/>
        </w:rPr>
        <w:t>（二）全国总决赛（2025年12月—2026年1月）</w:t>
      </w:r>
    </w:p>
    <w:p w14:paraId="37EF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晋级全国总决赛选手现场进行课程建设情况汇报、教学展示、互动答辩三个环节的比赛。</w:t>
      </w:r>
    </w:p>
    <w:p w14:paraId="7F3005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四、参赛材料要求</w:t>
      </w:r>
    </w:p>
    <w:p w14:paraId="2A80B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（一）课程教学赛道参赛申报表。包括课程概述、课程目标、课程团队、特色创新点等方面内容。</w:t>
      </w:r>
    </w:p>
    <w:p w14:paraId="0ACCA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（二）课程支撑材料。包括课程教案、评教结果及其他证明材料（合并成单个PDF格式文件，不超过30MB）。</w:t>
      </w:r>
    </w:p>
    <w:p w14:paraId="13AEC3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（三）参赛课程应保证相关参赛材料的原创性，不得抄袭、剽窃他人作品，如产生侵权行为或涉及知识产权纠纷，由参赛选手及所在高校承担相应责任。</w:t>
      </w:r>
    </w:p>
    <w:p w14:paraId="420A95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请在全国大学生职业规划大赛官网（网址：zgs.chsi.com.cn）下载课程教学赛道参赛申报表、课程支撑材料一览表等材料。</w:t>
      </w:r>
    </w:p>
    <w:p w14:paraId="44345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五、现场比赛环节</w:t>
      </w:r>
    </w:p>
    <w:p w14:paraId="41F1D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（一）课程建设情况汇报（6分钟）。选手展示课程创新探索、实施情况、成效体现等。</w:t>
      </w:r>
    </w:p>
    <w:p w14:paraId="1C7323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（二）教学展示（10分钟）。选手提供5个教学节段，现场随机抽取1个进行无生授课模式讲授。</w:t>
      </w:r>
    </w:p>
    <w:p w14:paraId="6C36D6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（三）互动答辩（6分钟）。评委针对选手汇报情况和教学展示提问，主要考察课程建设水平、特色创新改革（探索）效果等。</w:t>
      </w:r>
    </w:p>
    <w:p w14:paraId="0524D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六、评审标准</w:t>
      </w:r>
    </w:p>
    <w:p w14:paraId="712D2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现场比赛选手最终成绩由网络评审和现场比赛两部分成绩组成。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9"/>
        <w:gridCol w:w="5315"/>
        <w:gridCol w:w="959"/>
      </w:tblGrid>
      <w:tr w14:paraId="001D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873" w:type="dxa"/>
            <w:gridSpan w:val="3"/>
            <w:vAlign w:val="center"/>
          </w:tcPr>
          <w:p w14:paraId="72D88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32"/>
                <w:szCs w:val="32"/>
              </w:rPr>
              <w:t>一、网络评审</w:t>
            </w:r>
          </w:p>
        </w:tc>
      </w:tr>
      <w:tr w14:paraId="7232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599" w:type="dxa"/>
            <w:vAlign w:val="center"/>
          </w:tcPr>
          <w:p w14:paraId="6D42E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评价维度</w:t>
            </w:r>
          </w:p>
        </w:tc>
        <w:tc>
          <w:tcPr>
            <w:tcW w:w="5315" w:type="dxa"/>
            <w:vAlign w:val="center"/>
          </w:tcPr>
          <w:p w14:paraId="142B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评价要点</w:t>
            </w:r>
          </w:p>
        </w:tc>
        <w:tc>
          <w:tcPr>
            <w:tcW w:w="959" w:type="dxa"/>
            <w:vAlign w:val="center"/>
          </w:tcPr>
          <w:p w14:paraId="22F0D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分值</w:t>
            </w:r>
          </w:p>
        </w:tc>
      </w:tr>
      <w:tr w14:paraId="67A1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  <w:jc w:val="center"/>
        </w:trPr>
        <w:tc>
          <w:tcPr>
            <w:tcW w:w="2599" w:type="dxa"/>
            <w:vMerge w:val="restart"/>
            <w:vAlign w:val="center"/>
          </w:tcPr>
          <w:p w14:paraId="2F766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1.课程定位及目标</w:t>
            </w:r>
          </w:p>
        </w:tc>
        <w:tc>
          <w:tcPr>
            <w:tcW w:w="5315" w:type="dxa"/>
            <w:vAlign w:val="center"/>
          </w:tcPr>
          <w:p w14:paraId="21E31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围绕国家经济社会发展需求和学校办学定位设置课程，与思想政治教育、专业教育深度融合，体现就业育人理念，突出专业性、前瞻性、实操性</w:t>
            </w:r>
          </w:p>
        </w:tc>
        <w:tc>
          <w:tcPr>
            <w:tcW w:w="959" w:type="dxa"/>
            <w:vMerge w:val="restart"/>
            <w:vAlign w:val="center"/>
          </w:tcPr>
          <w:p w14:paraId="3E33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</w:tr>
      <w:tr w14:paraId="4CCB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2599" w:type="dxa"/>
            <w:vMerge w:val="continue"/>
            <w:vAlign w:val="center"/>
          </w:tcPr>
          <w:p w14:paraId="1040F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5" w:type="dxa"/>
            <w:vAlign w:val="center"/>
          </w:tcPr>
          <w:p w14:paraId="1B230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课程目标落实立德树人要求，以服务学生发展为中心，遵循学生成长规律，引导学生从实际出发选择职业和工作岗位、提升学生生涯规划能力和求职就业能力，促进高质量充分就业</w:t>
            </w:r>
          </w:p>
        </w:tc>
        <w:tc>
          <w:tcPr>
            <w:tcW w:w="959" w:type="dxa"/>
            <w:vMerge w:val="continue"/>
            <w:vAlign w:val="center"/>
          </w:tcPr>
          <w:p w14:paraId="09CC5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6D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  <w:jc w:val="center"/>
        </w:trPr>
        <w:tc>
          <w:tcPr>
            <w:tcW w:w="2599" w:type="dxa"/>
            <w:vAlign w:val="center"/>
          </w:tcPr>
          <w:p w14:paraId="57231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2.课程性质及覆盖面</w:t>
            </w:r>
          </w:p>
        </w:tc>
        <w:tc>
          <w:tcPr>
            <w:tcW w:w="5315" w:type="dxa"/>
            <w:vAlign w:val="center"/>
          </w:tcPr>
          <w:p w14:paraId="50427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课程正式纳入人才培养方案，面向有就业意愿或求职需要的学生群体开设，结合校情、学情设置必修课或选修课，合理确定课程开设年级、学时及学分，优先支持覆盖所有学生的必修课</w:t>
            </w:r>
          </w:p>
        </w:tc>
        <w:tc>
          <w:tcPr>
            <w:tcW w:w="959" w:type="dxa"/>
            <w:vAlign w:val="center"/>
          </w:tcPr>
          <w:p w14:paraId="04D8D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</w:tr>
      <w:tr w14:paraId="3084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  <w:jc w:val="center"/>
        </w:trPr>
        <w:tc>
          <w:tcPr>
            <w:tcW w:w="2599" w:type="dxa"/>
            <w:vMerge w:val="restart"/>
            <w:vAlign w:val="center"/>
          </w:tcPr>
          <w:p w14:paraId="3EC90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3.课程教师团队</w:t>
            </w:r>
          </w:p>
        </w:tc>
        <w:tc>
          <w:tcPr>
            <w:tcW w:w="5315" w:type="dxa"/>
            <w:vAlign w:val="center"/>
          </w:tcPr>
          <w:p w14:paraId="56E3F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课程教师团队负责人具备较高专业素养，熟练掌握生涯教育理论，具备就业指导专业能力，就业工作经验丰富，能够结合学校实际情况建立结构规模与授课学生覆盖面相匹配，专业素养过硬的教学团队</w:t>
            </w:r>
          </w:p>
        </w:tc>
        <w:tc>
          <w:tcPr>
            <w:tcW w:w="959" w:type="dxa"/>
            <w:vMerge w:val="restart"/>
            <w:vAlign w:val="center"/>
          </w:tcPr>
          <w:p w14:paraId="2B5FC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</w:tr>
      <w:tr w14:paraId="6630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  <w:jc w:val="center"/>
        </w:trPr>
        <w:tc>
          <w:tcPr>
            <w:tcW w:w="2599" w:type="dxa"/>
            <w:vMerge w:val="continue"/>
            <w:vAlign w:val="center"/>
          </w:tcPr>
          <w:p w14:paraId="258CE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5" w:type="dxa"/>
            <w:vAlign w:val="center"/>
          </w:tcPr>
          <w:p w14:paraId="5324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程教师团队成员相对稳定，具有良好的梯队结构、学缘结构、职称结构，校外兼职教师配备合理，体现所在学校的学科专业或行业特色，满足课程教学实际需要，能够结合学生学情和需求进行有针对性的课程创新改革</w:t>
            </w:r>
          </w:p>
        </w:tc>
        <w:tc>
          <w:tcPr>
            <w:tcW w:w="959" w:type="dxa"/>
            <w:vMerge w:val="continue"/>
            <w:vAlign w:val="center"/>
          </w:tcPr>
          <w:p w14:paraId="7807E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C9BD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2599" w:type="dxa"/>
            <w:vMerge w:val="restart"/>
            <w:vAlign w:val="center"/>
          </w:tcPr>
          <w:p w14:paraId="75E15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4.课程内容及设计 </w:t>
            </w:r>
          </w:p>
        </w:tc>
        <w:tc>
          <w:tcPr>
            <w:tcW w:w="5315" w:type="dxa"/>
            <w:vAlign w:val="center"/>
          </w:tcPr>
          <w:p w14:paraId="5B597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课程内容围绕生涯规划指导、就业观念引导、就业政策解读、求职技能提升等其中一个或多个方面组织设计，体现思想性、学术性和时代性相统一，兼顾课程共性与学校个性</w:t>
            </w:r>
          </w:p>
        </w:tc>
        <w:tc>
          <w:tcPr>
            <w:tcW w:w="959" w:type="dxa"/>
            <w:vMerge w:val="restart"/>
            <w:vAlign w:val="center"/>
          </w:tcPr>
          <w:p w14:paraId="2D9B5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</w:tr>
      <w:tr w14:paraId="4C923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5" w:hRule="atLeast"/>
          <w:jc w:val="center"/>
        </w:trPr>
        <w:tc>
          <w:tcPr>
            <w:tcW w:w="2599" w:type="dxa"/>
            <w:vMerge w:val="continue"/>
            <w:vAlign w:val="center"/>
          </w:tcPr>
          <w:p w14:paraId="4C39F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5" w:type="dxa"/>
            <w:vAlign w:val="center"/>
          </w:tcPr>
          <w:p w14:paraId="643B7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综合运用多种教学策略，结合内容采用丰富的教学活动。注重教学互动，强化学生主体意识，能够通过教学有效引发学生思考和行动</w:t>
            </w:r>
          </w:p>
        </w:tc>
        <w:tc>
          <w:tcPr>
            <w:tcW w:w="959" w:type="dxa"/>
            <w:vMerge w:val="continue"/>
            <w:vAlign w:val="center"/>
          </w:tcPr>
          <w:p w14:paraId="4E4C6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952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  <w:jc w:val="center"/>
        </w:trPr>
        <w:tc>
          <w:tcPr>
            <w:tcW w:w="2599" w:type="dxa"/>
            <w:vMerge w:val="continue"/>
            <w:vAlign w:val="center"/>
          </w:tcPr>
          <w:p w14:paraId="3B690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5" w:type="dxa"/>
            <w:vAlign w:val="center"/>
          </w:tcPr>
          <w:p w14:paraId="7F193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程内容与本地区，本学校相关政策、形势、案例结合良好，各类教学案例和资源有时效性，强化职业体验和就业实习实践，与理论授课协同配合，提升实践教学的有效性。鼓励学生结合课程学习完成大赛平台生涯闯关</w:t>
            </w:r>
          </w:p>
        </w:tc>
        <w:tc>
          <w:tcPr>
            <w:tcW w:w="959" w:type="dxa"/>
            <w:vMerge w:val="continue"/>
            <w:vAlign w:val="center"/>
          </w:tcPr>
          <w:p w14:paraId="6A61E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44A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exact"/>
          <w:jc w:val="center"/>
        </w:trPr>
        <w:tc>
          <w:tcPr>
            <w:tcW w:w="2599" w:type="dxa"/>
            <w:vMerge w:val="restart"/>
            <w:vAlign w:val="center"/>
          </w:tcPr>
          <w:p w14:paraId="16769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5.课程建设与改革</w:t>
            </w:r>
          </w:p>
        </w:tc>
        <w:tc>
          <w:tcPr>
            <w:tcW w:w="5315" w:type="dxa"/>
            <w:vAlign w:val="center"/>
          </w:tcPr>
          <w:p w14:paraId="34ACD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课程开设3年以上，在建设发展过程中持续改进优化，课程资源等建设成果突出，出版或选用高质量教材，按需组织修订或更新调整</w:t>
            </w:r>
          </w:p>
        </w:tc>
        <w:tc>
          <w:tcPr>
            <w:tcW w:w="959" w:type="dxa"/>
            <w:vMerge w:val="restart"/>
            <w:vAlign w:val="center"/>
          </w:tcPr>
          <w:p w14:paraId="08E2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15</w:t>
            </w:r>
          </w:p>
        </w:tc>
      </w:tr>
      <w:tr w14:paraId="32107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599" w:type="dxa"/>
            <w:vMerge w:val="continue"/>
            <w:vAlign w:val="center"/>
          </w:tcPr>
          <w:p w14:paraId="6802C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5" w:type="dxa"/>
            <w:vAlign w:val="center"/>
          </w:tcPr>
          <w:p w14:paraId="2EC2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形成较有特色课程建设模式，教学研究及教改成果丰富，获得代表性教学奖励</w:t>
            </w:r>
          </w:p>
        </w:tc>
        <w:tc>
          <w:tcPr>
            <w:tcW w:w="959" w:type="dxa"/>
            <w:vMerge w:val="continue"/>
            <w:vAlign w:val="center"/>
          </w:tcPr>
          <w:p w14:paraId="535D3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FB20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exact"/>
          <w:jc w:val="center"/>
        </w:trPr>
        <w:tc>
          <w:tcPr>
            <w:tcW w:w="2599" w:type="dxa"/>
            <w:vMerge w:val="continue"/>
            <w:vAlign w:val="center"/>
          </w:tcPr>
          <w:p w14:paraId="28450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5" w:type="dxa"/>
            <w:vAlign w:val="center"/>
          </w:tcPr>
          <w:p w14:paraId="243D1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有今后3年的课程建设计划，改进方向明确，问题导向、效果导向突出，改进措施具体可行</w:t>
            </w:r>
          </w:p>
        </w:tc>
        <w:tc>
          <w:tcPr>
            <w:tcW w:w="959" w:type="dxa"/>
            <w:vMerge w:val="continue"/>
            <w:vAlign w:val="center"/>
          </w:tcPr>
          <w:p w14:paraId="7D8AE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01CE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9" w:hRule="exact"/>
          <w:jc w:val="center"/>
        </w:trPr>
        <w:tc>
          <w:tcPr>
            <w:tcW w:w="2599" w:type="dxa"/>
            <w:vMerge w:val="restart"/>
            <w:vAlign w:val="center"/>
          </w:tcPr>
          <w:p w14:paraId="34E8A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6.课程特色创新点</w:t>
            </w:r>
          </w:p>
        </w:tc>
        <w:tc>
          <w:tcPr>
            <w:tcW w:w="5315" w:type="dxa"/>
            <w:vAlign w:val="center"/>
          </w:tcPr>
          <w:p w14:paraId="0DB7F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注重通过理念创新、内容拓展、教学方法创新、技术手段运用等，不断提升课程质量。课程设计充分结合中国传统文化和时代需要，注重融入专业特色。鼓励结合学校特色和学生特点探索中国特色生涯教育理论创新，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让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课程更好结合经济社会发展需要，实现课程与就业工作良性互动</w:t>
            </w:r>
          </w:p>
        </w:tc>
        <w:tc>
          <w:tcPr>
            <w:tcW w:w="959" w:type="dxa"/>
            <w:vMerge w:val="restart"/>
            <w:vAlign w:val="center"/>
          </w:tcPr>
          <w:p w14:paraId="1C107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20</w:t>
            </w:r>
          </w:p>
        </w:tc>
      </w:tr>
      <w:tr w14:paraId="3951E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exact"/>
          <w:jc w:val="center"/>
        </w:trPr>
        <w:tc>
          <w:tcPr>
            <w:tcW w:w="2599" w:type="dxa"/>
            <w:vMerge w:val="continue"/>
            <w:vAlign w:val="center"/>
          </w:tcPr>
          <w:p w14:paraId="76443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5" w:type="dxa"/>
            <w:vAlign w:val="center"/>
          </w:tcPr>
          <w:p w14:paraId="1A25A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教学中精准把握学生个性化诉求，运用AI赋能、体验式学习等手段开展教学方法创新，具备较强的借鉴和推广价值</w:t>
            </w:r>
          </w:p>
        </w:tc>
        <w:tc>
          <w:tcPr>
            <w:tcW w:w="959" w:type="dxa"/>
            <w:vMerge w:val="continue"/>
            <w:vAlign w:val="center"/>
          </w:tcPr>
          <w:p w14:paraId="3922B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102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  <w:jc w:val="center"/>
        </w:trPr>
        <w:tc>
          <w:tcPr>
            <w:tcW w:w="2599" w:type="dxa"/>
            <w:vMerge w:val="restart"/>
            <w:vAlign w:val="center"/>
          </w:tcPr>
          <w:p w14:paraId="75F07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7.课程实施成效</w:t>
            </w:r>
          </w:p>
        </w:tc>
        <w:tc>
          <w:tcPr>
            <w:tcW w:w="5315" w:type="dxa"/>
            <w:vAlign w:val="center"/>
          </w:tcPr>
          <w:p w14:paraId="2D050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课程教学满足学生生涯规划和求职就业的真实需求，学生的评教结果满意度水平高，基于学生评教结果开展教学研究，持续改进优化课程教学</w:t>
            </w:r>
          </w:p>
        </w:tc>
        <w:tc>
          <w:tcPr>
            <w:tcW w:w="959" w:type="dxa"/>
            <w:vMerge w:val="restart"/>
            <w:vAlign w:val="center"/>
          </w:tcPr>
          <w:p w14:paraId="29B86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</w:t>
            </w:r>
          </w:p>
        </w:tc>
      </w:tr>
      <w:tr w14:paraId="6D3D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exact"/>
          <w:jc w:val="center"/>
        </w:trPr>
        <w:tc>
          <w:tcPr>
            <w:tcW w:w="2599" w:type="dxa"/>
            <w:vMerge w:val="continue"/>
            <w:vAlign w:val="center"/>
          </w:tcPr>
          <w:p w14:paraId="2F7D5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5" w:type="dxa"/>
            <w:vAlign w:val="center"/>
          </w:tcPr>
          <w:p w14:paraId="19D77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课程达到预期目标，学生更加积极投入专业学习、主动开展实习实践，学生就业去向与学校定位、人才培养目标总体一致</w:t>
            </w:r>
          </w:p>
        </w:tc>
        <w:tc>
          <w:tcPr>
            <w:tcW w:w="959" w:type="dxa"/>
            <w:vMerge w:val="continue"/>
            <w:vAlign w:val="center"/>
          </w:tcPr>
          <w:p w14:paraId="6AE11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93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9" w:type="dxa"/>
            <w:vAlign w:val="center"/>
          </w:tcPr>
          <w:p w14:paraId="1F528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总分</w:t>
            </w:r>
          </w:p>
        </w:tc>
        <w:tc>
          <w:tcPr>
            <w:tcW w:w="5315" w:type="dxa"/>
            <w:vAlign w:val="center"/>
          </w:tcPr>
          <w:p w14:paraId="7928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14:paraId="2A57A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100</w:t>
            </w:r>
          </w:p>
        </w:tc>
      </w:tr>
      <w:tr w14:paraId="59346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73" w:type="dxa"/>
            <w:gridSpan w:val="3"/>
            <w:vAlign w:val="center"/>
          </w:tcPr>
          <w:p w14:paraId="0355DF6A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</w:rPr>
              <w:t>二、现场比赛</w:t>
            </w:r>
          </w:p>
        </w:tc>
      </w:tr>
      <w:tr w14:paraId="0EE49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9" w:type="dxa"/>
            <w:vAlign w:val="center"/>
          </w:tcPr>
          <w:p w14:paraId="633E0D6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评价维度</w:t>
            </w:r>
          </w:p>
        </w:tc>
        <w:tc>
          <w:tcPr>
            <w:tcW w:w="5315" w:type="dxa"/>
            <w:vAlign w:val="center"/>
          </w:tcPr>
          <w:p w14:paraId="6E004DD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评价要点</w:t>
            </w:r>
          </w:p>
        </w:tc>
        <w:tc>
          <w:tcPr>
            <w:tcW w:w="959" w:type="dxa"/>
            <w:vAlign w:val="center"/>
          </w:tcPr>
          <w:p w14:paraId="358ABEB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分值</w:t>
            </w:r>
          </w:p>
        </w:tc>
      </w:tr>
      <w:tr w14:paraId="0AF25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0" w:hRule="atLeast"/>
          <w:jc w:val="center"/>
        </w:trPr>
        <w:tc>
          <w:tcPr>
            <w:tcW w:w="2599" w:type="dxa"/>
            <w:vAlign w:val="center"/>
          </w:tcPr>
          <w:p w14:paraId="0913C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1.课程建设情况汇报与互动答辩</w:t>
            </w:r>
          </w:p>
        </w:tc>
        <w:tc>
          <w:tcPr>
            <w:tcW w:w="5315" w:type="dxa"/>
            <w:vAlign w:val="center"/>
          </w:tcPr>
          <w:p w14:paraId="6B436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规定时间内汇报课程创新方法、实施情况、效果体现等。回答问题能够体现教师对课程建设的理解和思考，反映课程建设的特色、水平和对学生发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  <w:t>展的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促进作用</w:t>
            </w:r>
          </w:p>
        </w:tc>
        <w:tc>
          <w:tcPr>
            <w:tcW w:w="959" w:type="dxa"/>
            <w:vAlign w:val="center"/>
          </w:tcPr>
          <w:p w14:paraId="13ABA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50</w:t>
            </w:r>
          </w:p>
        </w:tc>
      </w:tr>
      <w:tr w14:paraId="60E34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599" w:type="dxa"/>
            <w:vMerge w:val="restart"/>
            <w:vAlign w:val="center"/>
          </w:tcPr>
          <w:p w14:paraId="7147E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2.教学展示</w:t>
            </w:r>
          </w:p>
        </w:tc>
        <w:tc>
          <w:tcPr>
            <w:tcW w:w="5315" w:type="dxa"/>
            <w:vAlign w:val="center"/>
          </w:tcPr>
          <w:p w14:paraId="4341F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围绕主题合理设计内容，采用适当教学方法，体现对学生实践行动的促进，实现预期教学目标</w:t>
            </w:r>
          </w:p>
        </w:tc>
        <w:tc>
          <w:tcPr>
            <w:tcW w:w="959" w:type="dxa"/>
            <w:vMerge w:val="restart"/>
            <w:vAlign w:val="center"/>
          </w:tcPr>
          <w:p w14:paraId="4473E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50</w:t>
            </w:r>
          </w:p>
        </w:tc>
      </w:tr>
      <w:tr w14:paraId="1A6F0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9" w:type="dxa"/>
            <w:vMerge w:val="continue"/>
            <w:vAlign w:val="center"/>
          </w:tcPr>
          <w:p w14:paraId="6A550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315" w:type="dxa"/>
            <w:vAlign w:val="center"/>
          </w:tcPr>
          <w:p w14:paraId="1899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通过教学展示体现教师实际教学的经验，突出以学生为主体，熟练运用生涯教育理论和方法，解决学生生涯发展中的实际问题</w:t>
            </w:r>
          </w:p>
        </w:tc>
        <w:tc>
          <w:tcPr>
            <w:tcW w:w="959" w:type="dxa"/>
            <w:vMerge w:val="continue"/>
            <w:vAlign w:val="center"/>
          </w:tcPr>
          <w:p w14:paraId="2CB0C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C838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599" w:type="dxa"/>
            <w:vAlign w:val="center"/>
          </w:tcPr>
          <w:p w14:paraId="4230C7A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6"/>
                <w:szCs w:val="26"/>
              </w:rPr>
              <w:t>总分</w:t>
            </w:r>
          </w:p>
        </w:tc>
        <w:tc>
          <w:tcPr>
            <w:tcW w:w="5315" w:type="dxa"/>
            <w:vAlign w:val="center"/>
          </w:tcPr>
          <w:p w14:paraId="310B99B5">
            <w:pPr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59" w:type="dxa"/>
            <w:vAlign w:val="center"/>
          </w:tcPr>
          <w:p w14:paraId="4E354F3D">
            <w:pPr>
              <w:ind w:left="-105" w:leftChars="-50" w:right="-105" w:rightChars="-5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6"/>
                <w:szCs w:val="26"/>
              </w:rPr>
              <w:t>100</w:t>
            </w:r>
          </w:p>
        </w:tc>
      </w:tr>
    </w:tbl>
    <w:p w14:paraId="63DD6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七、奖项设置</w:t>
      </w:r>
    </w:p>
    <w:p w14:paraId="7EED0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课程教学赛道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省赛决赛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设金奖、银奖、铜奖、优秀奖等奖项。</w:t>
      </w:r>
    </w:p>
    <w:sectPr>
      <w:footerReference r:id="rId3" w:type="default"/>
      <w:pgSz w:w="11906" w:h="16838"/>
      <w:pgMar w:top="1440" w:right="1304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A03E3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81ED76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81ED76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40587"/>
    <w:rsid w:val="002B6923"/>
    <w:rsid w:val="0082176D"/>
    <w:rsid w:val="00DF14BB"/>
    <w:rsid w:val="02266218"/>
    <w:rsid w:val="02581525"/>
    <w:rsid w:val="028B4CDF"/>
    <w:rsid w:val="045161BE"/>
    <w:rsid w:val="0548762F"/>
    <w:rsid w:val="0681597D"/>
    <w:rsid w:val="07D25C80"/>
    <w:rsid w:val="07D63618"/>
    <w:rsid w:val="084C423B"/>
    <w:rsid w:val="08566507"/>
    <w:rsid w:val="09D30D2D"/>
    <w:rsid w:val="09F45FD8"/>
    <w:rsid w:val="0A0561C7"/>
    <w:rsid w:val="0A0B1BC6"/>
    <w:rsid w:val="0A6335C5"/>
    <w:rsid w:val="0B3A3EBE"/>
    <w:rsid w:val="0C3A6343"/>
    <w:rsid w:val="0C514749"/>
    <w:rsid w:val="0DA26F5D"/>
    <w:rsid w:val="0ECF3031"/>
    <w:rsid w:val="104D1B70"/>
    <w:rsid w:val="11D04F45"/>
    <w:rsid w:val="12B24C82"/>
    <w:rsid w:val="12C02EFB"/>
    <w:rsid w:val="1329427D"/>
    <w:rsid w:val="13AA3E8F"/>
    <w:rsid w:val="14397409"/>
    <w:rsid w:val="14794EA4"/>
    <w:rsid w:val="152165B6"/>
    <w:rsid w:val="15FE0523"/>
    <w:rsid w:val="1610044E"/>
    <w:rsid w:val="16564476"/>
    <w:rsid w:val="165F0C7D"/>
    <w:rsid w:val="17147CB9"/>
    <w:rsid w:val="18D56FD4"/>
    <w:rsid w:val="18ED6A14"/>
    <w:rsid w:val="191B531F"/>
    <w:rsid w:val="1A9B6333"/>
    <w:rsid w:val="1B340AB0"/>
    <w:rsid w:val="1B5E59A7"/>
    <w:rsid w:val="1CA4353E"/>
    <w:rsid w:val="1D0939F6"/>
    <w:rsid w:val="1F122D30"/>
    <w:rsid w:val="20653333"/>
    <w:rsid w:val="213056EF"/>
    <w:rsid w:val="21B42264"/>
    <w:rsid w:val="22110474"/>
    <w:rsid w:val="22D9311F"/>
    <w:rsid w:val="23CB4EC6"/>
    <w:rsid w:val="24172B97"/>
    <w:rsid w:val="25664CB5"/>
    <w:rsid w:val="26257624"/>
    <w:rsid w:val="26802B06"/>
    <w:rsid w:val="26A73075"/>
    <w:rsid w:val="27B1262E"/>
    <w:rsid w:val="27B4466B"/>
    <w:rsid w:val="285C326E"/>
    <w:rsid w:val="289447B6"/>
    <w:rsid w:val="296D0493"/>
    <w:rsid w:val="2A703001"/>
    <w:rsid w:val="2A85720D"/>
    <w:rsid w:val="2ABC1DA2"/>
    <w:rsid w:val="2AD25A69"/>
    <w:rsid w:val="2AD91C3E"/>
    <w:rsid w:val="2B500672"/>
    <w:rsid w:val="2EB2312B"/>
    <w:rsid w:val="2EE265FC"/>
    <w:rsid w:val="2FDC44EE"/>
    <w:rsid w:val="3209494C"/>
    <w:rsid w:val="324F3EDA"/>
    <w:rsid w:val="32C83D55"/>
    <w:rsid w:val="32CA3260"/>
    <w:rsid w:val="331307F1"/>
    <w:rsid w:val="33B82EE9"/>
    <w:rsid w:val="3413132F"/>
    <w:rsid w:val="34271534"/>
    <w:rsid w:val="346E699D"/>
    <w:rsid w:val="34B44085"/>
    <w:rsid w:val="368707BD"/>
    <w:rsid w:val="381C67F8"/>
    <w:rsid w:val="3938118D"/>
    <w:rsid w:val="398B750F"/>
    <w:rsid w:val="398C6886"/>
    <w:rsid w:val="3A883217"/>
    <w:rsid w:val="3AAA7204"/>
    <w:rsid w:val="3AB278E6"/>
    <w:rsid w:val="3BFB6A09"/>
    <w:rsid w:val="3E976956"/>
    <w:rsid w:val="3F6D62E0"/>
    <w:rsid w:val="3FA255B3"/>
    <w:rsid w:val="4047615A"/>
    <w:rsid w:val="40495906"/>
    <w:rsid w:val="409217D2"/>
    <w:rsid w:val="40AD420F"/>
    <w:rsid w:val="40C4796F"/>
    <w:rsid w:val="41844963"/>
    <w:rsid w:val="424225F1"/>
    <w:rsid w:val="425D3A13"/>
    <w:rsid w:val="42A44060"/>
    <w:rsid w:val="439917D7"/>
    <w:rsid w:val="441238C1"/>
    <w:rsid w:val="4561670A"/>
    <w:rsid w:val="4610007A"/>
    <w:rsid w:val="470B6133"/>
    <w:rsid w:val="479F2DE3"/>
    <w:rsid w:val="47EA7812"/>
    <w:rsid w:val="48253225"/>
    <w:rsid w:val="48777D12"/>
    <w:rsid w:val="49F70BF1"/>
    <w:rsid w:val="4AA86CFD"/>
    <w:rsid w:val="4AEF1BEE"/>
    <w:rsid w:val="4B205ACF"/>
    <w:rsid w:val="4B316AF0"/>
    <w:rsid w:val="4B416003"/>
    <w:rsid w:val="4BCF12F9"/>
    <w:rsid w:val="4BDF193C"/>
    <w:rsid w:val="4C9444D5"/>
    <w:rsid w:val="4E1556CB"/>
    <w:rsid w:val="4F18700A"/>
    <w:rsid w:val="4F2935FA"/>
    <w:rsid w:val="4FB8672C"/>
    <w:rsid w:val="4FC357FD"/>
    <w:rsid w:val="4FDD5DBB"/>
    <w:rsid w:val="4FE94417"/>
    <w:rsid w:val="513A1AEF"/>
    <w:rsid w:val="5194518E"/>
    <w:rsid w:val="519B00B4"/>
    <w:rsid w:val="51EB199C"/>
    <w:rsid w:val="522762D7"/>
    <w:rsid w:val="52B07B8F"/>
    <w:rsid w:val="53147295"/>
    <w:rsid w:val="53901E9A"/>
    <w:rsid w:val="547F73BC"/>
    <w:rsid w:val="54941192"/>
    <w:rsid w:val="54A35BFD"/>
    <w:rsid w:val="54FC530D"/>
    <w:rsid w:val="551E1ADA"/>
    <w:rsid w:val="556122A1"/>
    <w:rsid w:val="5718028F"/>
    <w:rsid w:val="57E035B9"/>
    <w:rsid w:val="580967CF"/>
    <w:rsid w:val="5923730C"/>
    <w:rsid w:val="59BA4144"/>
    <w:rsid w:val="5B2953E8"/>
    <w:rsid w:val="5C390BF5"/>
    <w:rsid w:val="5C8F6A67"/>
    <w:rsid w:val="5EC6388D"/>
    <w:rsid w:val="5EE74938"/>
    <w:rsid w:val="5F720B41"/>
    <w:rsid w:val="609D1752"/>
    <w:rsid w:val="616E7593"/>
    <w:rsid w:val="61947BF3"/>
    <w:rsid w:val="61BE4076"/>
    <w:rsid w:val="61DC793B"/>
    <w:rsid w:val="628232F6"/>
    <w:rsid w:val="636F1D94"/>
    <w:rsid w:val="63894210"/>
    <w:rsid w:val="63EB0A27"/>
    <w:rsid w:val="64DD5792"/>
    <w:rsid w:val="657C4CC0"/>
    <w:rsid w:val="670E25DC"/>
    <w:rsid w:val="67E07DA3"/>
    <w:rsid w:val="68D91796"/>
    <w:rsid w:val="68EA072F"/>
    <w:rsid w:val="69140A20"/>
    <w:rsid w:val="69B14C74"/>
    <w:rsid w:val="6A2A04E2"/>
    <w:rsid w:val="6AB74684"/>
    <w:rsid w:val="6BC87615"/>
    <w:rsid w:val="6C2747ED"/>
    <w:rsid w:val="6D36583B"/>
    <w:rsid w:val="6D446585"/>
    <w:rsid w:val="6D6D6950"/>
    <w:rsid w:val="6E840587"/>
    <w:rsid w:val="6EF2535F"/>
    <w:rsid w:val="76075BCC"/>
    <w:rsid w:val="765E75A4"/>
    <w:rsid w:val="765F0202"/>
    <w:rsid w:val="77B070F5"/>
    <w:rsid w:val="79232704"/>
    <w:rsid w:val="79FC074B"/>
    <w:rsid w:val="7A4A24B1"/>
    <w:rsid w:val="7AC5601E"/>
    <w:rsid w:val="7C6170FB"/>
    <w:rsid w:val="7C78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4832</Words>
  <Characters>5018</Characters>
  <Lines>0</Lines>
  <Paragraphs>0</Paragraphs>
  <TotalTime>251</TotalTime>
  <ScaleCrop>false</ScaleCrop>
  <LinksUpToDate>false</LinksUpToDate>
  <CharactersWithSpaces>5031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2025-10-27T09:23:00Z</dcterms:created>
  <dc:creator>燕子</dc:creator>
  <cp:lastModifiedBy>燕子</cp:lastModifiedBy>
  <cp:lastPrinted>2025-10-29T01:32:00Z</cp:lastPrinted>
  <dcterms:modified xsi:type="dcterms:W3CDTF">2025-11-10T00:55:20Z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D7B298C3A4D542B2BE4D862C24F21B9D_11</vt:lpwstr>
  </property>
  <property fmtid="{D5CDD505-2E9C-101B-9397-08002B2CF9AE}" pid="4" name="KSOTemplateDocerSaveRecord">
    <vt:lpwstr>eyJoZGlkIjoiN2E4MmQ4ZGNkMTFjNzM5Y2FjZjQwZWIyZWZmZTU1NzciLCJ1c2VySWQiOiI1ODcwMTc4NDMifQ==</vt:lpwstr>
  </property>
</Properties>
</file>